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Nyköping kommunfullmäktige</w:t>
      </w:r>
    </w:p>
    <w:p>
      <w:pPr>
        <w:pStyle w:val="Heading1"/>
      </w:pPr>
      <w:r>
        <w:t xml:space="preserve">Fler praktikplatser och matchning mot lokala jobb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Nyköping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Nyköping är 9,8 % (Arbetsförmedlingen 2025). Bättre matchning mot Scania, hamnen och kommunen kan stärka arbetslinjen.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Nyköping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100 nya praktikplatser per år i samverkan med näringslivet.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vuxenutbildningen utökas med 50 platser inriktade mot vård, teknik och logistik.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matchningsfunktion inrättas mellan Arbetsförmedlingen och Nyköpings kommun.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redovisas årligen för kommunfullmäktige.</w:t>
      </w:r>
    </w:p>
    <w:p>
      <w:pPr>
        <w:spacing w:before="360"/>
      </w:pPr>
    </w:p>
    <w:p>
      <w:r>
        <w:t xml:space="preserve">Nyköping,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Nyköping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2026-07-14T01:00:55.405Z</dcterms:created>
  <dcterms:modified xsi:type="dcterms:W3CDTF">2026-07-14T01:00:55.405Z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